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476B26" w:rsidP="001E159E">
      <w:pPr>
        <w:spacing w:after="180"/>
        <w:rPr>
          <w:b/>
          <w:sz w:val="44"/>
          <w:szCs w:val="44"/>
        </w:rPr>
      </w:pPr>
      <w:r>
        <w:rPr>
          <w:b/>
          <w:sz w:val="44"/>
          <w:szCs w:val="44"/>
        </w:rPr>
        <w:t>Warm feeling</w:t>
      </w:r>
    </w:p>
    <w:p w:rsidR="001E159E" w:rsidRDefault="001E159E" w:rsidP="001E159E">
      <w:pPr>
        <w:spacing w:after="180"/>
      </w:pPr>
    </w:p>
    <w:p w:rsidR="00476B26" w:rsidRPr="00476B26" w:rsidRDefault="00476B26" w:rsidP="00476B26">
      <w:pPr>
        <w:spacing w:after="60"/>
      </w:pPr>
      <w:r w:rsidRPr="00476B26">
        <w:rPr>
          <w:lang w:val="en-US"/>
        </w:rPr>
        <w:t>Metal often feels cold when you touch it.</w:t>
      </w:r>
    </w:p>
    <w:p w:rsidR="00476B26" w:rsidRDefault="00476B26" w:rsidP="00476B26">
      <w:pPr>
        <w:spacing w:after="180"/>
        <w:rPr>
          <w:lang w:val="en-US"/>
        </w:rPr>
      </w:pPr>
      <w:r w:rsidRPr="00476B26">
        <w:rPr>
          <w:lang w:val="en-US"/>
        </w:rPr>
        <w:t>Wood usually feels warm.</w:t>
      </w:r>
    </w:p>
    <w:p w:rsidR="00180916" w:rsidRPr="00476B26" w:rsidRDefault="00180916" w:rsidP="00476B26">
      <w:pPr>
        <w:spacing w:after="180"/>
      </w:pPr>
    </w:p>
    <w:p w:rsidR="001E159E" w:rsidRDefault="00AC7A28" w:rsidP="00AC7A28">
      <w:pPr>
        <w:spacing w:after="180"/>
        <w:jc w:val="center"/>
      </w:pPr>
      <w:r>
        <w:rPr>
          <w:noProof/>
          <w:lang w:eastAsia="en-GB"/>
        </w:rPr>
        <w:drawing>
          <wp:inline distT="0" distB="0" distL="0" distR="0" wp14:anchorId="17763452">
            <wp:extent cx="4095750" cy="1288603"/>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15806" cy="1294913"/>
                    </a:xfrm>
                    <a:prstGeom prst="rect">
                      <a:avLst/>
                    </a:prstGeom>
                    <a:noFill/>
                  </pic:spPr>
                </pic:pic>
              </a:graphicData>
            </a:graphic>
          </wp:inline>
        </w:drawing>
      </w:r>
    </w:p>
    <w:p w:rsidR="001E159E" w:rsidRDefault="001E159E" w:rsidP="001E159E">
      <w:pPr>
        <w:spacing w:after="240"/>
        <w:rPr>
          <w:szCs w:val="18"/>
        </w:rPr>
      </w:pPr>
    </w:p>
    <w:p w:rsidR="00180916" w:rsidRPr="00201AC2" w:rsidRDefault="00180916" w:rsidP="001E159E">
      <w:pPr>
        <w:spacing w:after="240"/>
        <w:rPr>
          <w:szCs w:val="18"/>
        </w:rPr>
      </w:pPr>
    </w:p>
    <w:p w:rsidR="00B9057C" w:rsidRPr="00B9057C" w:rsidRDefault="00B9057C" w:rsidP="00B9057C">
      <w:pPr>
        <w:spacing w:after="60"/>
        <w:rPr>
          <w:sz w:val="28"/>
          <w:szCs w:val="28"/>
          <w:lang w:val="en-US"/>
        </w:rPr>
      </w:pPr>
      <w:r w:rsidRPr="00B9057C">
        <w:rPr>
          <w:sz w:val="28"/>
          <w:szCs w:val="28"/>
          <w:lang w:val="en-US"/>
        </w:rPr>
        <w:t xml:space="preserve">Read these statements about why metal feels cold and wood feels warm. </w:t>
      </w:r>
    </w:p>
    <w:p w:rsidR="00B9057C" w:rsidRPr="00B9057C" w:rsidRDefault="00B9057C" w:rsidP="00B9057C">
      <w:pPr>
        <w:spacing w:after="60"/>
        <w:rPr>
          <w:sz w:val="28"/>
          <w:szCs w:val="28"/>
        </w:rPr>
      </w:pPr>
      <w:r w:rsidRPr="00B9057C">
        <w:rPr>
          <w:sz w:val="28"/>
          <w:szCs w:val="28"/>
          <w:lang w:val="en-US"/>
        </w:rPr>
        <w:t>What do you think about each one?</w:t>
      </w:r>
    </w:p>
    <w:p w:rsidR="001E159E" w:rsidRPr="001B2F96" w:rsidRDefault="00AC7A28" w:rsidP="00AC7A28">
      <w:pPr>
        <w:spacing w:after="180"/>
        <w:ind w:left="426"/>
        <w:rPr>
          <w:i/>
        </w:rPr>
      </w:pPr>
      <w:r w:rsidRPr="00AC7A28">
        <w:rPr>
          <w:szCs w:val="18"/>
        </w:rPr>
        <w:t xml:space="preserve"> </w:t>
      </w:r>
      <w:r w:rsidR="001E159E" w:rsidRPr="00AC7A28">
        <w:t>For each statement, tick (</w:t>
      </w:r>
      <w:r w:rsidR="001E159E" w:rsidRPr="00AC7A28">
        <w:sym w:font="Wingdings" w:char="F0FC"/>
      </w:r>
      <w:r w:rsidR="001E159E" w:rsidRPr="00AC7A28">
        <w:t xml:space="preserve">) </w:t>
      </w:r>
      <w:r w:rsidR="001E159E" w:rsidRPr="00AC7A28">
        <w:rPr>
          <w:b/>
        </w:rPr>
        <w:t>one</w:t>
      </w:r>
      <w:r w:rsidR="001E159E" w:rsidRPr="00AC7A28">
        <w:t xml:space="preserve"> column to show</w:t>
      </w:r>
      <w:r w:rsidR="001E159E" w:rsidRPr="001B2F96">
        <w:t xml:space="preserve"> what you think</w:t>
      </w:r>
      <w:r w:rsidR="001E159E"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AC7A28" w:rsidP="00677EDD">
            <w:pPr>
              <w:tabs>
                <w:tab w:val="right" w:leader="dot" w:pos="8680"/>
              </w:tabs>
              <w:jc w:val="center"/>
              <w:rPr>
                <w:rFonts w:eastAsia="Times New Roman" w:cs="Times New Roman"/>
                <w:lang w:eastAsia="en-GB"/>
              </w:rPr>
            </w:pPr>
            <w:r>
              <w:rPr>
                <w:rFonts w:eastAsia="Times New Roman" w:cs="Times New Roman"/>
                <w:lang w:eastAsia="en-GB"/>
              </w:rPr>
              <w:t>Statements</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C7A28" w:rsidRDefault="001E159E" w:rsidP="00677EDD">
            <w:pPr>
              <w:tabs>
                <w:tab w:val="right" w:leader="dot" w:pos="8680"/>
              </w:tabs>
              <w:jc w:val="center"/>
              <w:rPr>
                <w:rFonts w:eastAsia="Times New Roman" w:cs="Times New Roman"/>
                <w:b/>
                <w:lang w:eastAsia="en-GB"/>
              </w:rPr>
            </w:pPr>
            <w:r w:rsidRPr="00AC7A28">
              <w:rPr>
                <w:rFonts w:eastAsia="Times New Roman" w:cs="Times New Roman"/>
                <w:b/>
                <w:lang w:eastAsia="en-GB"/>
              </w:rPr>
              <w:t>A</w:t>
            </w:r>
          </w:p>
        </w:tc>
        <w:tc>
          <w:tcPr>
            <w:tcW w:w="4395" w:type="dxa"/>
            <w:tcBorders>
              <w:left w:val="nil"/>
            </w:tcBorders>
            <w:vAlign w:val="center"/>
          </w:tcPr>
          <w:p w:rsidR="001E159E" w:rsidRPr="00AC7A28" w:rsidRDefault="00AC7A28" w:rsidP="00677EDD">
            <w:pPr>
              <w:tabs>
                <w:tab w:val="right" w:leader="dot" w:pos="8680"/>
              </w:tabs>
              <w:rPr>
                <w:rFonts w:eastAsia="Times New Roman" w:cs="Times New Roman"/>
                <w:lang w:eastAsia="en-GB"/>
              </w:rPr>
            </w:pPr>
            <w:r w:rsidRPr="00AC7A28">
              <w:rPr>
                <w:rFonts w:eastAsia="Times New Roman" w:cs="Times New Roman"/>
                <w:lang w:eastAsia="en-GB"/>
              </w:rPr>
              <w:t>Energy from the thermal store of your hand moves easily through the metal.</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AC7A28" w:rsidRDefault="001E159E" w:rsidP="00677EDD">
            <w:pPr>
              <w:tabs>
                <w:tab w:val="right" w:leader="dot" w:pos="8680"/>
              </w:tabs>
              <w:jc w:val="center"/>
              <w:rPr>
                <w:rFonts w:eastAsia="Times New Roman" w:cs="Times New Roman"/>
                <w:b/>
                <w:lang w:eastAsia="en-GB"/>
              </w:rPr>
            </w:pPr>
            <w:r w:rsidRPr="00AC7A28">
              <w:rPr>
                <w:rFonts w:eastAsia="Times New Roman" w:cs="Times New Roman"/>
                <w:b/>
                <w:lang w:eastAsia="en-GB"/>
              </w:rPr>
              <w:t>B</w:t>
            </w:r>
          </w:p>
        </w:tc>
        <w:tc>
          <w:tcPr>
            <w:tcW w:w="4395" w:type="dxa"/>
            <w:tcBorders>
              <w:left w:val="nil"/>
            </w:tcBorders>
            <w:vAlign w:val="center"/>
          </w:tcPr>
          <w:p w:rsidR="001E159E" w:rsidRPr="00AC7A28" w:rsidRDefault="00AC7A28" w:rsidP="00677EDD">
            <w:pPr>
              <w:tabs>
                <w:tab w:val="right" w:leader="dot" w:pos="8680"/>
              </w:tabs>
              <w:rPr>
                <w:rFonts w:eastAsia="Times New Roman" w:cs="Times New Roman"/>
                <w:lang w:eastAsia="en-GB"/>
              </w:rPr>
            </w:pPr>
            <w:r w:rsidRPr="00AC7A28">
              <w:rPr>
                <w:rFonts w:eastAsia="Times New Roman" w:cs="Times New Roman"/>
                <w:lang w:eastAsia="en-GB"/>
              </w:rPr>
              <w:t xml:space="preserve">Energy from the thermal store of the wood moves into your hand.  </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AC7A28" w:rsidRDefault="001E159E" w:rsidP="00677EDD">
            <w:pPr>
              <w:tabs>
                <w:tab w:val="right" w:leader="dot" w:pos="8680"/>
              </w:tabs>
              <w:jc w:val="center"/>
              <w:rPr>
                <w:rFonts w:eastAsia="Times New Roman" w:cs="Times New Roman"/>
                <w:b/>
                <w:lang w:eastAsia="en-GB"/>
              </w:rPr>
            </w:pPr>
            <w:r w:rsidRPr="00AC7A28">
              <w:rPr>
                <w:rFonts w:eastAsia="Times New Roman" w:cs="Times New Roman"/>
                <w:b/>
                <w:lang w:eastAsia="en-GB"/>
              </w:rPr>
              <w:t>C</w:t>
            </w:r>
          </w:p>
        </w:tc>
        <w:tc>
          <w:tcPr>
            <w:tcW w:w="4395" w:type="dxa"/>
            <w:tcBorders>
              <w:left w:val="nil"/>
            </w:tcBorders>
            <w:vAlign w:val="center"/>
          </w:tcPr>
          <w:p w:rsidR="001E159E" w:rsidRPr="00AC7A28" w:rsidRDefault="00AC7A28" w:rsidP="00677EDD">
            <w:pPr>
              <w:tabs>
                <w:tab w:val="right" w:leader="dot" w:pos="8680"/>
              </w:tabs>
              <w:rPr>
                <w:rFonts w:eastAsia="Times New Roman" w:cs="Times New Roman"/>
                <w:lang w:eastAsia="en-GB"/>
              </w:rPr>
            </w:pPr>
            <w:r w:rsidRPr="00AC7A28">
              <w:rPr>
                <w:rFonts w:eastAsia="Times New Roman" w:cs="Times New Roman"/>
                <w:lang w:eastAsia="en-GB"/>
              </w:rPr>
              <w:t>Energy from the thermal store of your hand does not move easily through wood.</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AC7A28" w:rsidRDefault="001E159E" w:rsidP="00677EDD">
            <w:pPr>
              <w:tabs>
                <w:tab w:val="right" w:leader="dot" w:pos="8680"/>
              </w:tabs>
              <w:jc w:val="center"/>
              <w:rPr>
                <w:rFonts w:eastAsia="Times New Roman" w:cs="Times New Roman"/>
                <w:b/>
                <w:lang w:eastAsia="en-GB"/>
              </w:rPr>
            </w:pPr>
            <w:r w:rsidRPr="00AC7A28">
              <w:rPr>
                <w:rFonts w:eastAsia="Times New Roman" w:cs="Times New Roman"/>
                <w:b/>
                <w:lang w:eastAsia="en-GB"/>
              </w:rPr>
              <w:t>D</w:t>
            </w:r>
          </w:p>
        </w:tc>
        <w:tc>
          <w:tcPr>
            <w:tcW w:w="4395" w:type="dxa"/>
            <w:tcBorders>
              <w:left w:val="nil"/>
            </w:tcBorders>
            <w:vAlign w:val="center"/>
          </w:tcPr>
          <w:p w:rsidR="001E159E" w:rsidRPr="00AC7A28" w:rsidRDefault="00AC7A28" w:rsidP="00677EDD">
            <w:pPr>
              <w:tabs>
                <w:tab w:val="right" w:leader="dot" w:pos="8680"/>
              </w:tabs>
              <w:rPr>
                <w:rFonts w:eastAsia="Times New Roman" w:cs="Times New Roman"/>
                <w:lang w:eastAsia="en-GB"/>
              </w:rPr>
            </w:pPr>
            <w:r w:rsidRPr="00AC7A28">
              <w:rPr>
                <w:rFonts w:eastAsia="Times New Roman" w:cs="Times New Roman"/>
                <w:lang w:eastAsia="en-GB"/>
              </w:rPr>
              <w:t>The wood feels warm because your hand is warm.</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FD4273" w:rsidRDefault="00FD4273" w:rsidP="00FD4273">
      <w:pPr>
        <w:spacing w:after="240"/>
        <w:rPr>
          <w:i/>
          <w:sz w:val="18"/>
          <w:szCs w:val="18"/>
        </w:rPr>
      </w:pPr>
      <w:r>
        <w:rPr>
          <w:i/>
          <w:sz w:val="18"/>
          <w:szCs w:val="18"/>
        </w:rPr>
        <w:lastRenderedPageBreak/>
        <w:t>Physics &gt; Big idea PMA: Matter &gt; Topic PMA1: Heating and cooling &gt; Key concept PMA1.3: Thermal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1E260D" w:rsidP="006F3279">
            <w:pPr>
              <w:spacing w:after="60"/>
              <w:ind w:left="1304"/>
              <w:rPr>
                <w:b/>
                <w:sz w:val="40"/>
                <w:szCs w:val="40"/>
              </w:rPr>
            </w:pPr>
            <w:r>
              <w:rPr>
                <w:b/>
                <w:sz w:val="40"/>
                <w:szCs w:val="40"/>
              </w:rPr>
              <w:t>Warm feeling</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1E260D" w:rsidP="0007651D">
            <w:pPr>
              <w:spacing w:before="60" w:after="60"/>
            </w:pPr>
            <w:r w:rsidRPr="00E81E77">
              <w:t>Heating makes the particles in a material move more quickly. Heating raises the temperature quickly throughout a good thermal conductor, and very slowly through a good thermal insulator.</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5D3EB9" w:rsidRDefault="001E260D" w:rsidP="005D3EB9">
            <w:pPr>
              <w:spacing w:before="60" w:after="60"/>
              <w:rPr>
                <w:b/>
              </w:rPr>
            </w:pPr>
            <w:r w:rsidRPr="001E260D">
              <w:t xml:space="preserve">Explain why </w:t>
            </w:r>
            <w:r w:rsidR="00577461">
              <w:t xml:space="preserve">it is common for </w:t>
            </w:r>
            <w:r w:rsidRPr="001E260D">
              <w:t xml:space="preserve">thermal insulators </w:t>
            </w:r>
            <w:r w:rsidR="00577461">
              <w:t xml:space="preserve">to </w:t>
            </w:r>
            <w:r w:rsidRPr="001E260D">
              <w:t>feel warm and thermal conductors cold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5D3EB9" w:rsidP="007B18B8">
            <w:pPr>
              <w:spacing w:before="60" w:after="60"/>
            </w:pPr>
            <w:bookmarkStart w:id="0" w:name="_GoBack"/>
            <w:r>
              <w:t>C</w:t>
            </w:r>
            <w:r w:rsidR="001E159E">
              <w:t>onfidence grid</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E260D" w:rsidP="000505CA">
            <w:pPr>
              <w:spacing w:before="60" w:after="60"/>
            </w:pPr>
            <w:r w:rsidRPr="001E260D">
              <w:t>Thermal store, energy</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AA5B77">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56781" w:rsidRDefault="00356781" w:rsidP="00026DEC">
      <w:pPr>
        <w:spacing w:after="180"/>
      </w:pPr>
      <w:r>
        <w:t xml:space="preserve">Although it is a misunderstanding, it can make sense to think that because a plastic chair feels warmer than a metal one it contains more energy in its thermal store. This is a view that Chu et al. </w:t>
      </w:r>
      <w:r>
        <w:fldChar w:fldCharType="begin"/>
      </w:r>
      <w:r>
        <w:instrText xml:space="preserve"> ADDIN EN.CITE &lt;EndNote&gt;&lt;Cite ExcludeAuth="1"&gt;&lt;Author&gt;Chu&lt;/Author&gt;&lt;Year&gt;2012&lt;/Year&gt;&lt;IDText&gt;Evaluation of Students&amp;apos; Understanding of Thermal Concepts in Everyday Contexts&lt;/IDText&gt;&lt;DisplayText&gt;(2012)&lt;/DisplayText&gt;&lt;record&gt;&lt;titles&gt;&lt;title&gt;Evaluation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format="utc"&gt;1542721136&lt;/last-updated-date&gt;&lt;volume&gt;34:10&lt;/volume&gt;&lt;/record&gt;&lt;/Cite&gt;&lt;/EndNote&gt;</w:instrText>
      </w:r>
      <w:r>
        <w:fldChar w:fldCharType="separate"/>
      </w:r>
      <w:r>
        <w:rPr>
          <w:noProof/>
        </w:rPr>
        <w:t>(2012)</w:t>
      </w:r>
      <w:r>
        <w:fldChar w:fldCharType="end"/>
      </w:r>
      <w:r>
        <w:t xml:space="preserve"> found was held by over 35% of 14- to 16-year-olds (n=344). They also found a similar proportion of 14- to 15-year-olds (n-=178) thought that objects taken out of a fridge felt colder because they contained more ‘cold’. Students aged 12-to 15-years-old do not tend to examine temperature differences and explain phenomena in terms of the direction of energy flowing between thermal stores. Instead they often link properties of an object with what will happen: if it feels cold it will cool, and if it feels warm it will warm. </w:t>
      </w:r>
      <w:r>
        <w:fldChar w:fldCharType="begin"/>
      </w:r>
      <w:r>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(Erickson and Tiberghien, 1985)</w:t>
      </w:r>
      <w:r>
        <w:fldChar w:fldCharType="end"/>
      </w:r>
    </w:p>
    <w:p w:rsidR="00EE1BD0" w:rsidRDefault="00EE1BD0" w:rsidP="00026DEC">
      <w:pPr>
        <w:spacing w:after="180"/>
      </w:pPr>
      <w:r>
        <w:t xml:space="preserve">This question uses the energy stores and pathways approach that is described in ‘BEST Approaches: Teaching energy’ </w:t>
      </w:r>
      <w:r>
        <w:fldChar w:fldCharType="begin"/>
      </w:r>
      <w:r>
        <w:instrText xml:space="preserve"> ADDIN EN.CITE &lt;EndNote&gt;&lt;Cite&gt;&lt;Author&gt;Fairhurst&lt;/Author&gt;&lt;Year&gt;2018&lt;/Year&gt;&lt;IDText&gt;Teaching Energy&lt;/IDText&gt;&lt;DisplayText&gt;(Fairhurst, 2018)&lt;/DisplayText&gt;&lt;record&gt;&lt;urls&gt;&lt;related-urls&gt;&lt;url&gt;https://www.stem.org.uk/best-evidence-science-teaching&lt;/url&gt;&lt;/related-urls&gt;&lt;/urls&gt;&lt;titles&gt;&lt;title&gt;Teaching Energy&lt;/title&gt;&lt;tertiary-title&gt;STEM Learning&lt;/tertiary-title&gt;&lt;/titles&gt;&lt;contributors&gt;&lt;authors&gt;&lt;author&gt;Fairhurst, Peter&lt;/author&gt;&lt;/authors&gt;&lt;/contributors&gt;&lt;added-date format="utc"&gt;1530712344&lt;/added-date&gt;&lt;pub-location&gt;York&lt;/pub-location&gt;&lt;ref-type name="Electronic Article"&gt;43&lt;/ref-type&gt;&lt;dates&gt;&lt;year&gt;2018&lt;/year&gt;&lt;/dates&gt;&lt;rec-number&gt;11&lt;/rec-number&gt;&lt;last-updated-date format="utc"&gt;1530712550&lt;/last-updated-date&gt;&lt;/record&gt;&lt;/Cite&gt;&lt;/EndNote&gt;</w:instrText>
      </w:r>
      <w:r>
        <w:fldChar w:fldCharType="separate"/>
      </w:r>
      <w:r>
        <w:rPr>
          <w:noProof/>
        </w:rPr>
        <w:t>(Fairhurst, 2018)</w:t>
      </w:r>
      <w:r>
        <w:fldChar w:fldCharType="end"/>
      </w:r>
      <w:r>
        <w:t>. ‘Energy stores’ are introduced in the BEST topic PFM1: Forces.</w:t>
      </w:r>
    </w:p>
    <w:p w:rsidR="007A748B" w:rsidRPr="002C79AE" w:rsidRDefault="00356781" w:rsidP="00026DEC">
      <w:pPr>
        <w:spacing w:after="180"/>
        <w:rPr>
          <w:b/>
          <w:color w:val="5F497A" w:themeColor="accent4" w:themeShade="BF"/>
          <w:sz w:val="24"/>
        </w:rPr>
      </w:pPr>
      <w:r>
        <w:t xml:space="preserve"> </w:t>
      </w:r>
      <w:r w:rsidR="007A748B"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D04A0D" w:rsidRPr="00356781" w:rsidRDefault="001E159E" w:rsidP="00356781">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AF1FDB" w:rsidP="00BF6C8A">
      <w:pPr>
        <w:spacing w:after="180"/>
      </w:pPr>
      <w:r>
        <w:t>A, C and D are correct.</w:t>
      </w:r>
    </w:p>
    <w:p w:rsidR="00AF1FDB" w:rsidRDefault="00AF1FDB" w:rsidP="00BF6C8A">
      <w:pPr>
        <w:spacing w:after="180"/>
      </w:pPr>
      <w:r>
        <w:t>B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F124E3" w:rsidP="00A01222">
      <w:pPr>
        <w:spacing w:after="180"/>
      </w:pPr>
      <w:r w:rsidRPr="00F124E3">
        <w:t xml:space="preserve">To </w:t>
      </w:r>
      <w:r>
        <w:t xml:space="preserve">answer this question students need to take the scientific approach and consider first where temperature is higher, which is the hand. They then need to think about how easily </w:t>
      </w:r>
      <w:r w:rsidR="00B9057C">
        <w:t>the energy in the</w:t>
      </w:r>
      <w:r>
        <w:t xml:space="preserve"> thermal store </w:t>
      </w:r>
      <w:r w:rsidR="00B9057C">
        <w:t xml:space="preserve">of the hand </w:t>
      </w:r>
      <w:r>
        <w:t>can flow through each of the materials.</w:t>
      </w:r>
    </w:p>
    <w:p w:rsidR="00F124E3" w:rsidRDefault="00F124E3" w:rsidP="00A01222">
      <w:pPr>
        <w:spacing w:after="180"/>
      </w:pPr>
      <w:r>
        <w:t xml:space="preserve">Answer A is likely to be obvious to most, and similarly answer C because wood is an insulator. </w:t>
      </w:r>
    </w:p>
    <w:p w:rsidR="00F124E3" w:rsidRDefault="00F124E3" w:rsidP="00A01222">
      <w:pPr>
        <w:spacing w:after="180"/>
      </w:pPr>
      <w:r>
        <w:t>Answer D is correct because the warm hand quickly heats the particles on the surface of the wood. The energy from these particles is not easily conducted through the wood, so they remain at a higher temperature and feel warm to the touch. In a metal energy is quickly transferred away from the surface which reduces the vibrations of its parti</w:t>
      </w:r>
      <w:r w:rsidR="00B9057C">
        <w:t>cles, so the surface</w:t>
      </w:r>
      <w:r>
        <w:t xml:space="preserve"> feel</w:t>
      </w:r>
      <w:r w:rsidR="00B9057C">
        <w:t>s</w:t>
      </w:r>
      <w:r>
        <w:t xml:space="preserve"> cooler. </w:t>
      </w:r>
    </w:p>
    <w:p w:rsidR="005373F8" w:rsidRPr="00F124E3" w:rsidRDefault="005373F8" w:rsidP="00A01222">
      <w:pPr>
        <w:spacing w:after="180"/>
      </w:pPr>
      <w:r>
        <w:t xml:space="preserve">A few students may give answer B, which shows they are not approaching the question from the scientific point of view.  Instead they are </w:t>
      </w:r>
      <w:r w:rsidR="001C6DDD">
        <w:t>mistakenly linking the properties of an object with what will happen: it feels warm so it will warm.</w:t>
      </w:r>
    </w:p>
    <w:p w:rsidR="00E61571" w:rsidRDefault="00A01222" w:rsidP="00A01222">
      <w:pPr>
        <w:spacing w:after="180"/>
      </w:pPr>
      <w:r w:rsidRPr="004F039C">
        <w:t xml:space="preserve">If students have </w:t>
      </w:r>
      <w:r w:rsidR="004B1C32">
        <w:t>misunderstanding</w:t>
      </w:r>
      <w:r w:rsidRPr="004F039C">
        <w:t xml:space="preserve">s about </w:t>
      </w:r>
      <w:r w:rsidR="00FF14AF" w:rsidRPr="00FF14AF">
        <w:t>why it is common for thermal insulators to feel warm and thermal conductors cold</w:t>
      </w:r>
      <w:r w:rsidRPr="004F039C">
        <w:t xml:space="preserve">, </w:t>
      </w:r>
      <w:r w:rsidR="00E61571">
        <w:t>it can help to take students through the scientific approach to the situation and to then give them opportunities to apply the approach to new examples:</w:t>
      </w:r>
    </w:p>
    <w:p w:rsidR="00E61571" w:rsidRDefault="00E61571" w:rsidP="00E61571">
      <w:pPr>
        <w:spacing w:after="180"/>
        <w:ind w:left="284"/>
        <w:contextualSpacing/>
      </w:pPr>
      <w:r>
        <w:t>Why does a metal key feel warm when it is taken out of someone’s pocket?</w:t>
      </w:r>
    </w:p>
    <w:p w:rsidR="00C27CB4" w:rsidRDefault="00E61571" w:rsidP="00E61571">
      <w:pPr>
        <w:spacing w:after="180"/>
        <w:ind w:left="284"/>
      </w:pPr>
      <w:r>
        <w:t>Why does a wooden fence feel cold to touch on a frosty morning?</w:t>
      </w:r>
      <w:r w:rsidR="00A01222">
        <w:t xml:space="preserve"> </w:t>
      </w:r>
    </w:p>
    <w:p w:rsidR="00A01222" w:rsidRPr="00C27CB4" w:rsidRDefault="00A01222" w:rsidP="00A01222">
      <w:pPr>
        <w:spacing w:after="180"/>
      </w:pPr>
      <w:r w:rsidRPr="00C27CB4">
        <w:t xml:space="preserve">The following BEST ‘response </w:t>
      </w:r>
      <w:r w:rsidR="00F2483A" w:rsidRPr="00C27CB4">
        <w:t>activitie</w:t>
      </w:r>
      <w:r w:rsidRPr="00C27CB4">
        <w:t>s’ could be used in follow-up to this diagnostic question:</w:t>
      </w:r>
    </w:p>
    <w:p w:rsidR="00A01222" w:rsidRPr="00C27CB4" w:rsidRDefault="00A01222" w:rsidP="00A01222">
      <w:pPr>
        <w:pStyle w:val="ListParagraph"/>
        <w:numPr>
          <w:ilvl w:val="0"/>
          <w:numId w:val="1"/>
        </w:numPr>
        <w:spacing w:after="180"/>
      </w:pPr>
      <w:r w:rsidRPr="00C27CB4">
        <w:t xml:space="preserve">Response </w:t>
      </w:r>
      <w:r w:rsidR="00F2483A" w:rsidRPr="00C27CB4">
        <w:t>activity</w:t>
      </w:r>
      <w:r w:rsidRPr="00C27CB4">
        <w:t xml:space="preserve">: </w:t>
      </w:r>
      <w:r w:rsidR="00C27CB4" w:rsidRPr="00C27CB4">
        <w:t>Cool rod</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356781">
        <w:t>.</w:t>
      </w:r>
    </w:p>
    <w:p w:rsidR="00CC78A5" w:rsidRDefault="00D278E8" w:rsidP="00E172C6">
      <w:pPr>
        <w:spacing w:after="180"/>
      </w:pPr>
      <w:r w:rsidRPr="0045323E">
        <w:t xml:space="preserve">Images: </w:t>
      </w:r>
      <w:r w:rsidR="007D536F">
        <w:t>Peter Fairhurst (UYSEG)</w:t>
      </w:r>
      <w:r w:rsidR="00356781">
        <w:t>.</w:t>
      </w:r>
    </w:p>
    <w:p w:rsidR="00356781" w:rsidRDefault="003117F6" w:rsidP="00E24309">
      <w:pPr>
        <w:spacing w:after="180"/>
        <w:rPr>
          <w:b/>
          <w:color w:val="5F497A" w:themeColor="accent4" w:themeShade="BF"/>
          <w:sz w:val="24"/>
        </w:rPr>
      </w:pPr>
      <w:r w:rsidRPr="002C79AE">
        <w:rPr>
          <w:b/>
          <w:color w:val="5F497A" w:themeColor="accent4" w:themeShade="BF"/>
          <w:sz w:val="24"/>
        </w:rPr>
        <w:t>References</w:t>
      </w:r>
    </w:p>
    <w:p w:rsidR="00EE1BD0" w:rsidRPr="00EE1BD0" w:rsidRDefault="00356781" w:rsidP="00C02D3D">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EE1BD0" w:rsidRPr="00EE1BD0">
        <w:t xml:space="preserve">Chu, H.-E., et al. (2012). Evaluation of Students' Understanding of Thermal Concepts in Everyday Contexts. </w:t>
      </w:r>
      <w:r w:rsidR="00EE1BD0" w:rsidRPr="00EE1BD0">
        <w:rPr>
          <w:i/>
        </w:rPr>
        <w:t>International Journal of Science Education,</w:t>
      </w:r>
      <w:r w:rsidR="00EE1BD0" w:rsidRPr="00EE1BD0">
        <w:t xml:space="preserve"> 34:10</w:t>
      </w:r>
      <w:r w:rsidR="00EE1BD0" w:rsidRPr="00EE1BD0">
        <w:rPr>
          <w:b/>
        </w:rPr>
        <w:t>,</w:t>
      </w:r>
      <w:r w:rsidR="00EE1BD0" w:rsidRPr="00EE1BD0">
        <w:t xml:space="preserve"> 1509-1534.</w:t>
      </w:r>
    </w:p>
    <w:p w:rsidR="00EE1BD0" w:rsidRPr="00EE1BD0" w:rsidRDefault="00EE1BD0" w:rsidP="00C02D3D">
      <w:pPr>
        <w:pStyle w:val="EndNoteBibliography"/>
        <w:spacing w:after="120"/>
      </w:pPr>
      <w:r w:rsidRPr="00EE1BD0">
        <w:t xml:space="preserve">Erickson, G. and Tiberghien, A. (1985). Heat and Temperature. In Driver, R., Guesne, E. &amp; Tiberghien, A. (eds.) </w:t>
      </w:r>
      <w:r w:rsidRPr="00EE1BD0">
        <w:rPr>
          <w:i/>
        </w:rPr>
        <w:t>Children's Ideas In Science.</w:t>
      </w:r>
      <w:r w:rsidRPr="00EE1BD0">
        <w:t xml:space="preserve"> Milton Keynes and Philadelphia: Open University Press.</w:t>
      </w:r>
    </w:p>
    <w:p w:rsidR="00EE1BD0" w:rsidRPr="00EE1BD0" w:rsidRDefault="00EE1BD0" w:rsidP="00C02D3D">
      <w:pPr>
        <w:pStyle w:val="EndNoteBibliography"/>
        <w:spacing w:after="120"/>
      </w:pPr>
      <w:r w:rsidRPr="00EE1BD0">
        <w:t xml:space="preserve">Fairhurst, P. (2018). Teaching Energy. [Online]. Available at: </w:t>
      </w:r>
      <w:hyperlink r:id="rId10" w:history="1">
        <w:r w:rsidRPr="00EE1BD0">
          <w:rPr>
            <w:rStyle w:val="Hyperlink"/>
          </w:rPr>
          <w:t>https://www.stem.org.uk/best-evidence-science-teaching</w:t>
        </w:r>
      </w:hyperlink>
      <w:r w:rsidRPr="00EE1BD0">
        <w:t>.</w:t>
      </w:r>
    </w:p>
    <w:p w:rsidR="00B46FF9" w:rsidRDefault="00356781" w:rsidP="00C02D3D">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B26" w:rsidRDefault="00476B26" w:rsidP="000B473B">
      <w:r>
        <w:separator/>
      </w:r>
    </w:p>
  </w:endnote>
  <w:endnote w:type="continuationSeparator" w:id="0">
    <w:p w:rsidR="00476B26" w:rsidRDefault="00476B2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BB3FF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D3EB9">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B26" w:rsidRDefault="00476B26" w:rsidP="000B473B">
      <w:r>
        <w:separator/>
      </w:r>
    </w:p>
  </w:footnote>
  <w:footnote w:type="continuationSeparator" w:id="0">
    <w:p w:rsidR="00476B26" w:rsidRDefault="00476B2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E565C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E579B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6808E8"/>
    <w:multiLevelType w:val="hybridMultilevel"/>
    <w:tmpl w:val="9A8C5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76B26"/>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80916"/>
    <w:rsid w:val="001915D4"/>
    <w:rsid w:val="001A1FED"/>
    <w:rsid w:val="001A40E2"/>
    <w:rsid w:val="001C3E84"/>
    <w:rsid w:val="001C4805"/>
    <w:rsid w:val="001C6DDD"/>
    <w:rsid w:val="001E159E"/>
    <w:rsid w:val="001E260D"/>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56781"/>
    <w:rsid w:val="003752BE"/>
    <w:rsid w:val="003A346A"/>
    <w:rsid w:val="003B2917"/>
    <w:rsid w:val="003B541B"/>
    <w:rsid w:val="003E2B2F"/>
    <w:rsid w:val="003E6046"/>
    <w:rsid w:val="003F16F9"/>
    <w:rsid w:val="00430C1F"/>
    <w:rsid w:val="00442595"/>
    <w:rsid w:val="0045323E"/>
    <w:rsid w:val="00476B26"/>
    <w:rsid w:val="004B0EE1"/>
    <w:rsid w:val="004B1C32"/>
    <w:rsid w:val="004C5D20"/>
    <w:rsid w:val="004D0D83"/>
    <w:rsid w:val="004E1DF1"/>
    <w:rsid w:val="004E5592"/>
    <w:rsid w:val="0050055B"/>
    <w:rsid w:val="00524710"/>
    <w:rsid w:val="00535269"/>
    <w:rsid w:val="005373F8"/>
    <w:rsid w:val="00555342"/>
    <w:rsid w:val="005560E2"/>
    <w:rsid w:val="00577461"/>
    <w:rsid w:val="005A452E"/>
    <w:rsid w:val="005A6EE7"/>
    <w:rsid w:val="005D3EB9"/>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01C64"/>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C7A28"/>
    <w:rsid w:val="00AD21F5"/>
    <w:rsid w:val="00AF1FDB"/>
    <w:rsid w:val="00B06225"/>
    <w:rsid w:val="00B23C7A"/>
    <w:rsid w:val="00B305F5"/>
    <w:rsid w:val="00B46FF9"/>
    <w:rsid w:val="00B47E1D"/>
    <w:rsid w:val="00B75483"/>
    <w:rsid w:val="00B9057C"/>
    <w:rsid w:val="00BA7952"/>
    <w:rsid w:val="00BB44B4"/>
    <w:rsid w:val="00BD5EE6"/>
    <w:rsid w:val="00BF0BBF"/>
    <w:rsid w:val="00BF6C8A"/>
    <w:rsid w:val="00C02D3D"/>
    <w:rsid w:val="00C05571"/>
    <w:rsid w:val="00C246CE"/>
    <w:rsid w:val="00C27CB4"/>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61571"/>
    <w:rsid w:val="00E9330A"/>
    <w:rsid w:val="00EE1BD0"/>
    <w:rsid w:val="00EE6B97"/>
    <w:rsid w:val="00F124E3"/>
    <w:rsid w:val="00F12C3B"/>
    <w:rsid w:val="00F2483A"/>
    <w:rsid w:val="00F26884"/>
    <w:rsid w:val="00F72ECC"/>
    <w:rsid w:val="00F8355F"/>
    <w:rsid w:val="00FA3196"/>
    <w:rsid w:val="00FD4273"/>
    <w:rsid w:val="00FF14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3F3B5E"/>
  <w15:docId w15:val="{FC997ABF-4AD5-4B78-AE2E-FAEA701E9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35678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56781"/>
    <w:rPr>
      <w:rFonts w:ascii="Calibri" w:hAnsi="Calibri" w:cs="Calibri"/>
      <w:noProof/>
      <w:lang w:val="en-US"/>
    </w:rPr>
  </w:style>
  <w:style w:type="paragraph" w:customStyle="1" w:styleId="EndNoteBibliography">
    <w:name w:val="EndNote Bibliography"/>
    <w:basedOn w:val="Normal"/>
    <w:link w:val="EndNoteBibliographyChar"/>
    <w:rsid w:val="00356781"/>
    <w:rPr>
      <w:rFonts w:ascii="Calibri" w:hAnsi="Calibri" w:cs="Calibri"/>
      <w:noProof/>
      <w:lang w:val="en-US"/>
    </w:rPr>
  </w:style>
  <w:style w:type="character" w:customStyle="1" w:styleId="EndNoteBibliographyChar">
    <w:name w:val="EndNote Bibliography Char"/>
    <w:basedOn w:val="DefaultParagraphFont"/>
    <w:link w:val="EndNoteBibliography"/>
    <w:rsid w:val="00356781"/>
    <w:rPr>
      <w:rFonts w:ascii="Calibri" w:hAnsi="Calibri" w:cs="Calibri"/>
      <w:noProof/>
      <w:lang w:val="en-US"/>
    </w:rPr>
  </w:style>
  <w:style w:type="character" w:styleId="Hyperlink">
    <w:name w:val="Hyperlink"/>
    <w:basedOn w:val="DefaultParagraphFont"/>
    <w:uiPriority w:val="99"/>
    <w:unhideWhenUsed/>
    <w:rsid w:val="00EE1B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66944619">
      <w:bodyDiv w:val="1"/>
      <w:marLeft w:val="0"/>
      <w:marRight w:val="0"/>
      <w:marTop w:val="0"/>
      <w:marBottom w:val="0"/>
      <w:divBdr>
        <w:top w:val="none" w:sz="0" w:space="0" w:color="auto"/>
        <w:left w:val="none" w:sz="0" w:space="0" w:color="auto"/>
        <w:bottom w:val="none" w:sz="0" w:space="0" w:color="auto"/>
        <w:right w:val="none" w:sz="0" w:space="0" w:color="auto"/>
      </w:divBdr>
    </w:div>
    <w:div w:id="183255617">
      <w:bodyDiv w:val="1"/>
      <w:marLeft w:val="0"/>
      <w:marRight w:val="0"/>
      <w:marTop w:val="0"/>
      <w:marBottom w:val="0"/>
      <w:divBdr>
        <w:top w:val="none" w:sz="0" w:space="0" w:color="auto"/>
        <w:left w:val="none" w:sz="0" w:space="0" w:color="auto"/>
        <w:bottom w:val="none" w:sz="0" w:space="0" w:color="auto"/>
        <w:right w:val="none" w:sz="0" w:space="0" w:color="auto"/>
      </w:divBdr>
    </w:div>
    <w:div w:id="268784597">
      <w:bodyDiv w:val="1"/>
      <w:marLeft w:val="0"/>
      <w:marRight w:val="0"/>
      <w:marTop w:val="0"/>
      <w:marBottom w:val="0"/>
      <w:divBdr>
        <w:top w:val="none" w:sz="0" w:space="0" w:color="auto"/>
        <w:left w:val="none" w:sz="0" w:space="0" w:color="auto"/>
        <w:bottom w:val="none" w:sz="0" w:space="0" w:color="auto"/>
        <w:right w:val="none" w:sz="0" w:space="0" w:color="auto"/>
      </w:divBdr>
    </w:div>
    <w:div w:id="1147627805">
      <w:bodyDiv w:val="1"/>
      <w:marLeft w:val="0"/>
      <w:marRight w:val="0"/>
      <w:marTop w:val="0"/>
      <w:marBottom w:val="0"/>
      <w:divBdr>
        <w:top w:val="none" w:sz="0" w:space="0" w:color="auto"/>
        <w:left w:val="none" w:sz="0" w:space="0" w:color="auto"/>
        <w:bottom w:val="none" w:sz="0" w:space="0" w:color="auto"/>
        <w:right w:val="none" w:sz="0" w:space="0" w:color="auto"/>
      </w:divBdr>
    </w:div>
    <w:div w:id="1369330908">
      <w:bodyDiv w:val="1"/>
      <w:marLeft w:val="0"/>
      <w:marRight w:val="0"/>
      <w:marTop w:val="0"/>
      <w:marBottom w:val="0"/>
      <w:divBdr>
        <w:top w:val="none" w:sz="0" w:space="0" w:color="auto"/>
        <w:left w:val="none" w:sz="0" w:space="0" w:color="auto"/>
        <w:bottom w:val="none" w:sz="0" w:space="0" w:color="auto"/>
        <w:right w:val="none" w:sz="0" w:space="0" w:color="auto"/>
      </w:divBdr>
    </w:div>
    <w:div w:id="1543401205">
      <w:bodyDiv w:val="1"/>
      <w:marLeft w:val="0"/>
      <w:marRight w:val="0"/>
      <w:marTop w:val="0"/>
      <w:marBottom w:val="0"/>
      <w:divBdr>
        <w:top w:val="none" w:sz="0" w:space="0" w:color="auto"/>
        <w:left w:val="none" w:sz="0" w:space="0" w:color="auto"/>
        <w:bottom w:val="none" w:sz="0" w:space="0" w:color="auto"/>
        <w:right w:val="none" w:sz="0" w:space="0" w:color="auto"/>
      </w:divBdr>
    </w:div>
    <w:div w:id="1626428386">
      <w:bodyDiv w:val="1"/>
      <w:marLeft w:val="0"/>
      <w:marRight w:val="0"/>
      <w:marTop w:val="0"/>
      <w:marBottom w:val="0"/>
      <w:divBdr>
        <w:top w:val="none" w:sz="0" w:space="0" w:color="auto"/>
        <w:left w:val="none" w:sz="0" w:space="0" w:color="auto"/>
        <w:bottom w:val="none" w:sz="0" w:space="0" w:color="auto"/>
        <w:right w:val="none" w:sz="0" w:space="0" w:color="auto"/>
      </w:divBdr>
    </w:div>
    <w:div w:id="1919947385">
      <w:bodyDiv w:val="1"/>
      <w:marLeft w:val="0"/>
      <w:marRight w:val="0"/>
      <w:marTop w:val="0"/>
      <w:marBottom w:val="0"/>
      <w:divBdr>
        <w:top w:val="none" w:sz="0" w:space="0" w:color="auto"/>
        <w:left w:val="none" w:sz="0" w:space="0" w:color="auto"/>
        <w:bottom w:val="none" w:sz="0" w:space="0" w:color="auto"/>
        <w:right w:val="none" w:sz="0" w:space="0" w:color="auto"/>
      </w:divBdr>
    </w:div>
    <w:div w:id="199355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stem.org.uk/best-evidence-science-teaching"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50</TotalTime>
  <Pages>3</Pages>
  <Words>1193</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19</cp:revision>
  <cp:lastPrinted>2017-02-24T16:20:00Z</cp:lastPrinted>
  <dcterms:created xsi:type="dcterms:W3CDTF">2018-12-04T10:28:00Z</dcterms:created>
  <dcterms:modified xsi:type="dcterms:W3CDTF">2019-03-12T15:03:00Z</dcterms:modified>
</cp:coreProperties>
</file>